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16" w:rsidRPr="00D85B81" w:rsidRDefault="000D1A9C" w:rsidP="002D3C16">
      <w:pPr>
        <w:jc w:val="center"/>
        <w:rPr>
          <w:b/>
          <w:sz w:val="28"/>
          <w:szCs w:val="28"/>
          <w:u w:val="single"/>
        </w:rPr>
      </w:pPr>
      <w:r w:rsidRPr="00D85B81">
        <w:rPr>
          <w:rFonts w:ascii="Calibri" w:eastAsia="Calibri" w:hAnsi="Calibri" w:cs="Times New Roman"/>
          <w:b/>
          <w:noProof/>
          <w:sz w:val="28"/>
          <w:szCs w:val="28"/>
          <w:u w:val="single"/>
          <w:lang w:eastAsia="es-CL"/>
        </w:rPr>
        <w:drawing>
          <wp:anchor distT="0" distB="0" distL="114300" distR="114300" simplePos="0" relativeHeight="251659264" behindDoc="0" locked="0" layoutInCell="1" allowOverlap="1" wp14:anchorId="29EBCAB2" wp14:editId="55CBC8E2">
            <wp:simplePos x="0" y="0"/>
            <wp:positionH relativeFrom="column">
              <wp:posOffset>-657860</wp:posOffset>
            </wp:positionH>
            <wp:positionV relativeFrom="paragraph">
              <wp:posOffset>-596265</wp:posOffset>
            </wp:positionV>
            <wp:extent cx="1051560" cy="10972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5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C16" w:rsidRPr="00D85B81">
        <w:rPr>
          <w:b/>
          <w:sz w:val="28"/>
          <w:szCs w:val="28"/>
          <w:u w:val="single"/>
        </w:rPr>
        <w:t>GUÍA DE HISTORIA Y GEOGRAFÍ</w:t>
      </w:r>
      <w:r w:rsidR="00D85B81" w:rsidRPr="00D85B81">
        <w:rPr>
          <w:b/>
          <w:sz w:val="28"/>
          <w:szCs w:val="28"/>
          <w:u w:val="single"/>
        </w:rPr>
        <w:t xml:space="preserve">A </w:t>
      </w:r>
      <w:r w:rsidR="00F05304">
        <w:rPr>
          <w:b/>
          <w:sz w:val="28"/>
          <w:szCs w:val="28"/>
          <w:u w:val="single"/>
        </w:rPr>
        <w:t>2</w:t>
      </w:r>
      <w:r w:rsidR="00FB40A5">
        <w:rPr>
          <w:b/>
          <w:sz w:val="28"/>
          <w:szCs w:val="28"/>
          <w:u w:val="single"/>
        </w:rPr>
        <w:t xml:space="preserve">° MEDIO </w:t>
      </w:r>
      <w:r w:rsidR="002D3C16" w:rsidRPr="00D85B81">
        <w:rPr>
          <w:b/>
          <w:sz w:val="28"/>
          <w:szCs w:val="28"/>
          <w:u w:val="single"/>
        </w:rPr>
        <w:t>N° 2</w:t>
      </w:r>
    </w:p>
    <w:p w:rsidR="002D3C16" w:rsidRDefault="00392823" w:rsidP="00392823">
      <w:pPr>
        <w:tabs>
          <w:tab w:val="left" w:pos="3093"/>
        </w:tabs>
      </w:pPr>
      <w:r>
        <w:tab/>
      </w:r>
      <w:proofErr w:type="gramStart"/>
      <w:r w:rsidR="00DB5503">
        <w:t>“ El</w:t>
      </w:r>
      <w:proofErr w:type="gramEnd"/>
      <w:r w:rsidR="00DB5503">
        <w:t xml:space="preserve"> periodo de </w:t>
      </w:r>
      <w:r w:rsidR="00EF5CA5">
        <w:t>entreguerras</w:t>
      </w:r>
      <w:r w:rsidR="00DB5503">
        <w:t>”</w:t>
      </w:r>
      <w:r>
        <w:t xml:space="preserve"> </w:t>
      </w:r>
    </w:p>
    <w:p w:rsidR="00DB5503" w:rsidRPr="00DB5503" w:rsidRDefault="00DB5503" w:rsidP="00DB5503">
      <w:pPr>
        <w:shd w:val="clear" w:color="auto" w:fill="FFFFFF"/>
        <w:spacing w:after="0" w:line="240" w:lineRule="auto"/>
        <w:rPr>
          <w:rFonts w:eastAsia="Times New Roman" w:cs="Times New Roman"/>
          <w:lang w:eastAsia="es-CL"/>
        </w:rPr>
      </w:pPr>
      <w:r w:rsidRPr="00DB5503">
        <w:rPr>
          <w:rFonts w:eastAsia="Times New Roman" w:cs="Times New Roman"/>
          <w:lang w:eastAsia="es-CL"/>
        </w:rPr>
        <w:t>Con este nombre se conoce la etapa histórica comprendida entre 1918, año en que se firmó el armisticio que puso fin a la Primera Guerra Mundial, y 1939, fecha en que comienza un nuevo conflicto internacional.</w:t>
      </w:r>
    </w:p>
    <w:p w:rsidR="00DB5503" w:rsidRPr="00DB5503" w:rsidRDefault="00DB5503" w:rsidP="00DB5503">
      <w:pPr>
        <w:pBdr>
          <w:bottom w:val="single" w:sz="6" w:space="1" w:color="E9EFF4"/>
        </w:pBdr>
        <w:shd w:val="clear" w:color="auto" w:fill="FFFFFF"/>
        <w:spacing w:before="192" w:after="192" w:line="600" w:lineRule="atLeast"/>
        <w:ind w:right="192"/>
        <w:outlineLvl w:val="1"/>
        <w:rPr>
          <w:rFonts w:eastAsia="Times New Roman" w:cs="Times New Roman"/>
          <w:b/>
          <w:bCs/>
          <w:lang w:eastAsia="es-CL"/>
        </w:rPr>
      </w:pPr>
      <w:r w:rsidRPr="00DB5503">
        <w:rPr>
          <w:rFonts w:eastAsia="Times New Roman" w:cs="Times New Roman"/>
          <w:b/>
          <w:bCs/>
          <w:lang w:eastAsia="es-CL"/>
        </w:rPr>
        <w:t>La crisis económica</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La paz que se restableció tras cuatro años de conflicto mundial dio paso a una década de optimismo generalizado y crecimiento económico basado en los siguientes aspectos:</w:t>
      </w:r>
    </w:p>
    <w:p w:rsidR="00DB5503" w:rsidRPr="00DB5503" w:rsidRDefault="00DB5503" w:rsidP="00DB5503">
      <w:pPr>
        <w:numPr>
          <w:ilvl w:val="0"/>
          <w:numId w:val="2"/>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Reapertura del </w:t>
      </w:r>
      <w:r w:rsidRPr="00DB5503">
        <w:rPr>
          <w:rFonts w:eastAsia="Times New Roman" w:cs="Times New Roman"/>
          <w:b/>
          <w:bCs/>
          <w:lang w:eastAsia="es-CL"/>
        </w:rPr>
        <w:t>comercio internacional</w:t>
      </w:r>
      <w:r w:rsidRPr="00DB5503">
        <w:rPr>
          <w:rFonts w:eastAsia="Times New Roman" w:cs="Times New Roman"/>
          <w:lang w:eastAsia="es-CL"/>
        </w:rPr>
        <w:t>.</w:t>
      </w:r>
    </w:p>
    <w:p w:rsidR="00DB5503" w:rsidRPr="00DB5503" w:rsidRDefault="00DB5503" w:rsidP="00DB5503">
      <w:pPr>
        <w:numPr>
          <w:ilvl w:val="0"/>
          <w:numId w:val="2"/>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Reconstrucción</w:t>
      </w:r>
      <w:r w:rsidRPr="00DB5503">
        <w:rPr>
          <w:rFonts w:eastAsia="Times New Roman" w:cs="Times New Roman"/>
          <w:lang w:eastAsia="es-CL"/>
        </w:rPr>
        <w:t> de las naciones afectadas por la guerra.</w:t>
      </w:r>
    </w:p>
    <w:p w:rsidR="00DB5503" w:rsidRPr="00DB5503" w:rsidRDefault="00DB5503" w:rsidP="00DB5503">
      <w:pPr>
        <w:numPr>
          <w:ilvl w:val="0"/>
          <w:numId w:val="2"/>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Desarrollo</w:t>
      </w:r>
      <w:r w:rsidRPr="00DB5503">
        <w:rPr>
          <w:rFonts w:eastAsia="Times New Roman" w:cs="Times New Roman"/>
          <w:lang w:eastAsia="es-CL"/>
        </w:rPr>
        <w:t> sin precedentes de la actividad bursátil y financiera.</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La situación cambiaría radicalmente en 1929. El 29 de octubre de ese año quebró la Bolsa de Nueva York (</w:t>
      </w:r>
      <w:r w:rsidRPr="00DB5503">
        <w:rPr>
          <w:rFonts w:eastAsia="Times New Roman" w:cs="Times New Roman"/>
          <w:b/>
          <w:bCs/>
          <w:lang w:eastAsia="es-CL"/>
        </w:rPr>
        <w:t>viernes negro</w:t>
      </w:r>
      <w:r w:rsidRPr="00DB5503">
        <w:rPr>
          <w:rFonts w:eastAsia="Times New Roman" w:cs="Times New Roman"/>
          <w:lang w:eastAsia="es-CL"/>
        </w:rPr>
        <w:t>), lo que daría lugar a una crisis económica de alcance mundial que perduraría hasta el comienzo de la Segunda Guerra Mundial.</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Entre las varias causas de la </w:t>
      </w:r>
      <w:r w:rsidRPr="00DB5503">
        <w:rPr>
          <w:rFonts w:eastAsia="Times New Roman" w:cs="Times New Roman"/>
          <w:b/>
          <w:bCs/>
          <w:lang w:eastAsia="es-CL"/>
        </w:rPr>
        <w:t>Gran Depresión de los años treinta</w:t>
      </w:r>
      <w:r w:rsidRPr="00DB5503">
        <w:rPr>
          <w:rFonts w:eastAsia="Times New Roman" w:cs="Times New Roman"/>
          <w:lang w:eastAsia="es-CL"/>
        </w:rPr>
        <w:t> las más importantes fueron:</w:t>
      </w:r>
    </w:p>
    <w:p w:rsidR="00DB5503" w:rsidRPr="00DB5503" w:rsidRDefault="00DB5503" w:rsidP="00DB5503">
      <w:pPr>
        <w:numPr>
          <w:ilvl w:val="0"/>
          <w:numId w:val="3"/>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El </w:t>
      </w:r>
      <w:r w:rsidRPr="00DB5503">
        <w:rPr>
          <w:rFonts w:eastAsia="Times New Roman" w:cs="Times New Roman"/>
          <w:b/>
          <w:bCs/>
          <w:lang w:eastAsia="es-CL"/>
        </w:rPr>
        <w:t>exceso de producción</w:t>
      </w:r>
      <w:r w:rsidRPr="00DB5503">
        <w:rPr>
          <w:rFonts w:eastAsia="Times New Roman" w:cs="Times New Roman"/>
          <w:lang w:eastAsia="es-CL"/>
        </w:rPr>
        <w:t>, que no podía ser absorbida por un mercado de bajo poder adquisitivo.</w:t>
      </w:r>
    </w:p>
    <w:p w:rsidR="00DB5503" w:rsidRPr="00DB5503" w:rsidRDefault="00DB5503" w:rsidP="00DB5503">
      <w:pPr>
        <w:numPr>
          <w:ilvl w:val="0"/>
          <w:numId w:val="3"/>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La gran </w:t>
      </w:r>
      <w:r w:rsidRPr="00DB5503">
        <w:rPr>
          <w:rFonts w:eastAsia="Times New Roman" w:cs="Times New Roman"/>
          <w:b/>
          <w:bCs/>
          <w:lang w:eastAsia="es-CL"/>
        </w:rPr>
        <w:t>especulación</w:t>
      </w:r>
      <w:r w:rsidRPr="00DB5503">
        <w:rPr>
          <w:rFonts w:eastAsia="Times New Roman" w:cs="Times New Roman"/>
          <w:lang w:eastAsia="es-CL"/>
        </w:rPr>
        <w:t> existente en la Bolsa.</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Los resultados del </w:t>
      </w:r>
      <w:r w:rsidRPr="00DB5503">
        <w:rPr>
          <w:rFonts w:eastAsia="Times New Roman" w:cs="Times New Roman"/>
          <w:i/>
          <w:iCs/>
          <w:lang w:eastAsia="es-CL"/>
        </w:rPr>
        <w:t>crack</w:t>
      </w:r>
      <w:r w:rsidRPr="00DB5503">
        <w:rPr>
          <w:rFonts w:eastAsia="Times New Roman" w:cs="Times New Roman"/>
          <w:lang w:eastAsia="es-CL"/>
        </w:rPr>
        <w:t> fueron:</w:t>
      </w:r>
    </w:p>
    <w:p w:rsidR="00DB5503" w:rsidRPr="00DB5503" w:rsidRDefault="00DB5503" w:rsidP="00DB5503">
      <w:pPr>
        <w:numPr>
          <w:ilvl w:val="0"/>
          <w:numId w:val="4"/>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Desempleo generalizado y empobrecimiento de la población.</w:t>
      </w:r>
    </w:p>
    <w:p w:rsidR="00DB5503" w:rsidRPr="00DB5503" w:rsidRDefault="00DB5503" w:rsidP="00DB5503">
      <w:pPr>
        <w:numPr>
          <w:ilvl w:val="0"/>
          <w:numId w:val="4"/>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Adopción de </w:t>
      </w:r>
      <w:r w:rsidRPr="00DB5503">
        <w:rPr>
          <w:rFonts w:eastAsia="Times New Roman" w:cs="Times New Roman"/>
          <w:b/>
          <w:bCs/>
          <w:lang w:eastAsia="es-CL"/>
        </w:rPr>
        <w:t>políticas económicas autárquicas</w:t>
      </w:r>
      <w:r w:rsidRPr="00DB5503">
        <w:rPr>
          <w:rFonts w:eastAsia="Times New Roman" w:cs="Times New Roman"/>
          <w:lang w:eastAsia="es-CL"/>
        </w:rPr>
        <w:t> y planificadas.</w:t>
      </w:r>
    </w:p>
    <w:p w:rsidR="00DB5503" w:rsidRPr="00DB5503" w:rsidRDefault="00DB5503" w:rsidP="00DB5503">
      <w:pPr>
        <w:numPr>
          <w:ilvl w:val="0"/>
          <w:numId w:val="4"/>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Auge del </w:t>
      </w:r>
      <w:r w:rsidRPr="00DB5503">
        <w:rPr>
          <w:rFonts w:eastAsia="Times New Roman" w:cs="Times New Roman"/>
          <w:b/>
          <w:bCs/>
          <w:lang w:eastAsia="es-CL"/>
        </w:rPr>
        <w:t>nacionalismo</w:t>
      </w:r>
      <w:r w:rsidRPr="00DB5503">
        <w:rPr>
          <w:rFonts w:eastAsia="Times New Roman" w:cs="Times New Roman"/>
          <w:lang w:eastAsia="es-CL"/>
        </w:rPr>
        <w:t> y de las ideologías de corte fascista.</w:t>
      </w:r>
    </w:p>
    <w:p w:rsidR="00DB5503" w:rsidRPr="00DB5503" w:rsidRDefault="00DB5503" w:rsidP="00DB5503">
      <w:pPr>
        <w:pBdr>
          <w:bottom w:val="single" w:sz="6" w:space="1" w:color="E9EFF4"/>
        </w:pBdr>
        <w:shd w:val="clear" w:color="auto" w:fill="FFFFFF"/>
        <w:spacing w:before="192" w:after="192" w:line="600" w:lineRule="atLeast"/>
        <w:ind w:right="192"/>
        <w:outlineLvl w:val="1"/>
        <w:rPr>
          <w:rFonts w:eastAsia="Times New Roman" w:cs="Times New Roman"/>
          <w:b/>
          <w:bCs/>
          <w:lang w:eastAsia="es-CL"/>
        </w:rPr>
      </w:pPr>
      <w:r w:rsidRPr="00DB5503">
        <w:rPr>
          <w:rFonts w:eastAsia="Times New Roman" w:cs="Times New Roman"/>
          <w:b/>
          <w:bCs/>
          <w:lang w:eastAsia="es-CL"/>
        </w:rPr>
        <w:t>Intentos de recuperación económica: el ejemplo estadounidense</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Para salir de la crisis cada país procuró aplicar su propio experimento. En términos generales, los resultados fueron limitados o incluso negativos:</w:t>
      </w:r>
    </w:p>
    <w:p w:rsidR="00DB5503" w:rsidRPr="00DB5503" w:rsidRDefault="00DB5503" w:rsidP="00DB5503">
      <w:pPr>
        <w:numPr>
          <w:ilvl w:val="0"/>
          <w:numId w:val="5"/>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Inglaterra</w:t>
      </w:r>
      <w:r w:rsidRPr="00DB5503">
        <w:rPr>
          <w:rFonts w:eastAsia="Times New Roman" w:cs="Times New Roman"/>
          <w:lang w:eastAsia="es-CL"/>
        </w:rPr>
        <w:t> y </w:t>
      </w:r>
      <w:r w:rsidRPr="00DB5503">
        <w:rPr>
          <w:rFonts w:eastAsia="Times New Roman" w:cs="Times New Roman"/>
          <w:b/>
          <w:bCs/>
          <w:lang w:eastAsia="es-CL"/>
        </w:rPr>
        <w:t>Francia</w:t>
      </w:r>
      <w:r w:rsidRPr="00DB5503">
        <w:rPr>
          <w:rFonts w:eastAsia="Times New Roman" w:cs="Times New Roman"/>
          <w:lang w:eastAsia="es-CL"/>
        </w:rPr>
        <w:t> se volcaron en el comercio con sus colonias.</w:t>
      </w:r>
    </w:p>
    <w:p w:rsidR="00DB5503" w:rsidRPr="00DB5503" w:rsidRDefault="00DB5503" w:rsidP="00DB5503">
      <w:pPr>
        <w:numPr>
          <w:ilvl w:val="0"/>
          <w:numId w:val="5"/>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Alemania, Japón </w:t>
      </w:r>
      <w:r w:rsidRPr="00DB5503">
        <w:rPr>
          <w:rFonts w:eastAsia="Times New Roman" w:cs="Times New Roman"/>
          <w:lang w:eastAsia="es-CL"/>
        </w:rPr>
        <w:t>e </w:t>
      </w:r>
      <w:r w:rsidRPr="00DB5503">
        <w:rPr>
          <w:rFonts w:eastAsia="Times New Roman" w:cs="Times New Roman"/>
          <w:b/>
          <w:bCs/>
          <w:lang w:eastAsia="es-CL"/>
        </w:rPr>
        <w:t>Italia</w:t>
      </w:r>
      <w:r w:rsidRPr="00DB5503">
        <w:rPr>
          <w:rFonts w:eastAsia="Times New Roman" w:cs="Times New Roman"/>
          <w:lang w:eastAsia="es-CL"/>
        </w:rPr>
        <w:t> desarrollaron una política ultranacionalista y militarista.</w:t>
      </w:r>
    </w:p>
    <w:p w:rsidR="00DB5503" w:rsidRPr="00DB5503" w:rsidRDefault="00DB5503" w:rsidP="00DB5503">
      <w:pPr>
        <w:numPr>
          <w:ilvl w:val="0"/>
          <w:numId w:val="5"/>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Rusia</w:t>
      </w:r>
      <w:r w:rsidRPr="00DB5503">
        <w:rPr>
          <w:rFonts w:eastAsia="Times New Roman" w:cs="Times New Roman"/>
          <w:lang w:eastAsia="es-CL"/>
        </w:rPr>
        <w:t> estableció un rígido sistema de planificación económica que fue imitado parcialmente en </w:t>
      </w:r>
      <w:r w:rsidRPr="00DB5503">
        <w:rPr>
          <w:rFonts w:eastAsia="Times New Roman" w:cs="Times New Roman"/>
          <w:b/>
          <w:bCs/>
          <w:lang w:eastAsia="es-CL"/>
        </w:rPr>
        <w:t>Australia</w:t>
      </w:r>
      <w:r w:rsidRPr="00DB5503">
        <w:rPr>
          <w:rFonts w:eastAsia="Times New Roman" w:cs="Times New Roman"/>
          <w:lang w:eastAsia="es-CL"/>
        </w:rPr>
        <w:t> y </w:t>
      </w:r>
      <w:r w:rsidRPr="00DB5503">
        <w:rPr>
          <w:rFonts w:eastAsia="Times New Roman" w:cs="Times New Roman"/>
          <w:b/>
          <w:bCs/>
          <w:lang w:eastAsia="es-CL"/>
        </w:rPr>
        <w:t>Nueva Zelanda</w:t>
      </w:r>
      <w:r w:rsidRPr="00DB5503">
        <w:rPr>
          <w:rFonts w:eastAsia="Times New Roman" w:cs="Times New Roman"/>
          <w:lang w:eastAsia="es-CL"/>
        </w:rPr>
        <w:t>.</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Sólo</w:t>
      </w:r>
      <w:r w:rsidRPr="00DB5503">
        <w:rPr>
          <w:rFonts w:eastAsia="Times New Roman" w:cs="Times New Roman"/>
          <w:b/>
          <w:bCs/>
          <w:lang w:eastAsia="es-CL"/>
        </w:rPr>
        <w:t> Estados Unidos diseñó</w:t>
      </w:r>
      <w:r w:rsidRPr="00DB5503">
        <w:rPr>
          <w:rFonts w:eastAsia="Times New Roman" w:cs="Times New Roman"/>
          <w:lang w:eastAsia="es-CL"/>
        </w:rPr>
        <w:t> una política que se tradujo en una verdadera recuperación económica: el </w:t>
      </w:r>
      <w:r w:rsidRPr="00DB5503">
        <w:rPr>
          <w:rFonts w:eastAsia="Times New Roman" w:cs="Times New Roman"/>
          <w:b/>
          <w:bCs/>
          <w:lang w:eastAsia="es-CL"/>
        </w:rPr>
        <w:t xml:space="preserve">New </w:t>
      </w:r>
      <w:proofErr w:type="spellStart"/>
      <w:r w:rsidRPr="00DB5503">
        <w:rPr>
          <w:rFonts w:eastAsia="Times New Roman" w:cs="Times New Roman"/>
          <w:b/>
          <w:bCs/>
          <w:lang w:eastAsia="es-CL"/>
        </w:rPr>
        <w:t>Deal</w:t>
      </w:r>
      <w:proofErr w:type="spellEnd"/>
      <w:r w:rsidRPr="00DB5503">
        <w:rPr>
          <w:rFonts w:eastAsia="Times New Roman" w:cs="Times New Roman"/>
          <w:lang w:eastAsia="es-CL"/>
        </w:rPr>
        <w:t> del presidente Franklin D. Roosevelt. A grandes rasgos, el objetivo de la nueva política económica estadounidense consistió en buscar el equilibrio entre la iniciativa privada y el control estatal de la industria, el comercio y las finanzas.</w:t>
      </w:r>
    </w:p>
    <w:p w:rsidR="00DB5503" w:rsidRPr="00DB5503" w:rsidRDefault="00DB5503" w:rsidP="00DB5503">
      <w:pPr>
        <w:shd w:val="clear" w:color="auto" w:fill="FFFFFF"/>
        <w:spacing w:after="0" w:line="240" w:lineRule="auto"/>
        <w:rPr>
          <w:rFonts w:eastAsia="Times New Roman" w:cs="Times New Roman"/>
          <w:lang w:eastAsia="es-CL"/>
        </w:rPr>
      </w:pPr>
    </w:p>
    <w:p w:rsidR="00F05304" w:rsidRDefault="00F05304" w:rsidP="00DB5503">
      <w:pPr>
        <w:pBdr>
          <w:bottom w:val="single" w:sz="6" w:space="1" w:color="E9EFF4"/>
        </w:pBdr>
        <w:shd w:val="clear" w:color="auto" w:fill="FFFFFF"/>
        <w:spacing w:before="192" w:after="192" w:line="600" w:lineRule="atLeast"/>
        <w:ind w:right="192"/>
        <w:outlineLvl w:val="1"/>
        <w:rPr>
          <w:rFonts w:eastAsia="Times New Roman" w:cs="Times New Roman"/>
          <w:b/>
          <w:bCs/>
          <w:lang w:eastAsia="es-CL"/>
        </w:rPr>
      </w:pPr>
    </w:p>
    <w:p w:rsidR="00DB5503" w:rsidRPr="00DB5503" w:rsidRDefault="00DB5503" w:rsidP="00DB5503">
      <w:pPr>
        <w:pBdr>
          <w:bottom w:val="single" w:sz="6" w:space="1" w:color="E9EFF4"/>
        </w:pBdr>
        <w:shd w:val="clear" w:color="auto" w:fill="FFFFFF"/>
        <w:spacing w:before="192" w:after="192" w:line="600" w:lineRule="atLeast"/>
        <w:ind w:right="192"/>
        <w:outlineLvl w:val="1"/>
        <w:rPr>
          <w:rFonts w:eastAsia="Times New Roman" w:cs="Times New Roman"/>
          <w:b/>
          <w:bCs/>
          <w:lang w:eastAsia="es-CL"/>
        </w:rPr>
      </w:pPr>
      <w:r w:rsidRPr="00DB5503">
        <w:rPr>
          <w:rFonts w:eastAsia="Times New Roman" w:cs="Times New Roman"/>
          <w:b/>
          <w:bCs/>
          <w:lang w:eastAsia="es-CL"/>
        </w:rPr>
        <w:lastRenderedPageBreak/>
        <w:t>El fascismo</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Uno de los fenómenos políticos más característicos de la primera mitad del siglo XX fue la aparición del </w:t>
      </w:r>
      <w:r w:rsidRPr="00DB5503">
        <w:rPr>
          <w:rFonts w:eastAsia="Times New Roman" w:cs="Times New Roman"/>
          <w:b/>
          <w:bCs/>
          <w:lang w:eastAsia="es-CL"/>
        </w:rPr>
        <w:t>fascismo</w:t>
      </w:r>
      <w:r w:rsidRPr="00DB5503">
        <w:rPr>
          <w:rFonts w:eastAsia="Times New Roman" w:cs="Times New Roman"/>
          <w:lang w:eastAsia="es-CL"/>
        </w:rPr>
        <w:t> en varios Estados europeos. Entre las causas de su origen cabe destacar:</w:t>
      </w:r>
    </w:p>
    <w:p w:rsidR="00DB5503" w:rsidRPr="00DB5503" w:rsidRDefault="00DB5503" w:rsidP="00DB5503">
      <w:pPr>
        <w:numPr>
          <w:ilvl w:val="0"/>
          <w:numId w:val="6"/>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El </w:t>
      </w:r>
      <w:r w:rsidRPr="00DB5503">
        <w:rPr>
          <w:rFonts w:eastAsia="Times New Roman" w:cs="Times New Roman"/>
          <w:b/>
          <w:bCs/>
          <w:lang w:eastAsia="es-CL"/>
        </w:rPr>
        <w:t>revanchismo </w:t>
      </w:r>
      <w:r w:rsidRPr="00DB5503">
        <w:rPr>
          <w:rFonts w:eastAsia="Times New Roman" w:cs="Times New Roman"/>
          <w:lang w:eastAsia="es-CL"/>
        </w:rPr>
        <w:t>derivado de la derrota en la Primera Guerra Mundial (Alemania).</w:t>
      </w:r>
    </w:p>
    <w:p w:rsidR="00DB5503" w:rsidRPr="00DB5503" w:rsidRDefault="00DB5503" w:rsidP="00DB5503">
      <w:pPr>
        <w:numPr>
          <w:ilvl w:val="0"/>
          <w:numId w:val="6"/>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La </w:t>
      </w:r>
      <w:r w:rsidRPr="00DB5503">
        <w:rPr>
          <w:rFonts w:eastAsia="Times New Roman" w:cs="Times New Roman"/>
          <w:b/>
          <w:bCs/>
          <w:lang w:eastAsia="es-CL"/>
        </w:rPr>
        <w:t>insatisfacción</w:t>
      </w:r>
      <w:r w:rsidRPr="00DB5503">
        <w:rPr>
          <w:rFonts w:eastAsia="Times New Roman" w:cs="Times New Roman"/>
          <w:lang w:eastAsia="es-CL"/>
        </w:rPr>
        <w:t> por el desigual reparto de los territorios coloniales (Italia, Japón, España).</w:t>
      </w:r>
    </w:p>
    <w:p w:rsidR="00DB5503" w:rsidRPr="00DB5503" w:rsidRDefault="00DB5503" w:rsidP="00DB5503">
      <w:pPr>
        <w:numPr>
          <w:ilvl w:val="0"/>
          <w:numId w:val="6"/>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El </w:t>
      </w:r>
      <w:r w:rsidRPr="00DB5503">
        <w:rPr>
          <w:rFonts w:eastAsia="Times New Roman" w:cs="Times New Roman"/>
          <w:b/>
          <w:bCs/>
          <w:lang w:eastAsia="es-CL"/>
        </w:rPr>
        <w:t>empobrecimiento</w:t>
      </w:r>
      <w:r w:rsidRPr="00DB5503">
        <w:rPr>
          <w:rFonts w:eastAsia="Times New Roman" w:cs="Times New Roman"/>
          <w:lang w:eastAsia="es-CL"/>
        </w:rPr>
        <w:t> y la </w:t>
      </w:r>
      <w:r w:rsidRPr="00DB5503">
        <w:rPr>
          <w:rFonts w:eastAsia="Times New Roman" w:cs="Times New Roman"/>
          <w:b/>
          <w:bCs/>
          <w:lang w:eastAsia="es-CL"/>
        </w:rPr>
        <w:t>crisis</w:t>
      </w:r>
      <w:r w:rsidRPr="00DB5503">
        <w:rPr>
          <w:rFonts w:eastAsia="Times New Roman" w:cs="Times New Roman"/>
          <w:lang w:eastAsia="es-CL"/>
        </w:rPr>
        <w:t> económica tras el </w:t>
      </w:r>
      <w:r w:rsidRPr="00DB5503">
        <w:rPr>
          <w:rFonts w:eastAsia="Times New Roman" w:cs="Times New Roman"/>
          <w:i/>
          <w:iCs/>
          <w:lang w:eastAsia="es-CL"/>
        </w:rPr>
        <w:t>crack</w:t>
      </w:r>
      <w:r w:rsidRPr="00DB5503">
        <w:rPr>
          <w:rFonts w:eastAsia="Times New Roman" w:cs="Times New Roman"/>
          <w:lang w:eastAsia="es-CL"/>
        </w:rPr>
        <w:t> de 1929.</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El fascismo nació en Italia, de la mano de </w:t>
      </w:r>
      <w:r w:rsidRPr="00DB5503">
        <w:rPr>
          <w:rFonts w:eastAsia="Times New Roman" w:cs="Times New Roman"/>
          <w:b/>
          <w:bCs/>
          <w:lang w:eastAsia="es-CL"/>
        </w:rPr>
        <w:t>Benito Mussolini</w:t>
      </w:r>
      <w:r w:rsidRPr="00DB5503">
        <w:rPr>
          <w:rFonts w:eastAsia="Times New Roman" w:cs="Times New Roman"/>
          <w:lang w:eastAsia="es-CL"/>
        </w:rPr>
        <w:t>, quien accedió al poder en 1922. Pronto fue seguido su ejemplo en Alemania, al fundar </w:t>
      </w:r>
      <w:r w:rsidRPr="00DB5503">
        <w:rPr>
          <w:rFonts w:eastAsia="Times New Roman" w:cs="Times New Roman"/>
          <w:b/>
          <w:bCs/>
          <w:lang w:eastAsia="es-CL"/>
        </w:rPr>
        <w:t>Adolf Hitler</w:t>
      </w:r>
      <w:r w:rsidRPr="00DB5503">
        <w:rPr>
          <w:rFonts w:eastAsia="Times New Roman" w:cs="Times New Roman"/>
          <w:lang w:eastAsia="es-CL"/>
        </w:rPr>
        <w:t> el Partido Nacionalsocialista Alemán (Nazi), con el que llegó al poder en 1933.</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La ideología del fascismo se caracteriza por:</w:t>
      </w:r>
    </w:p>
    <w:p w:rsidR="00DB5503" w:rsidRPr="00DB5503" w:rsidRDefault="00DB5503" w:rsidP="00DB5503">
      <w:pPr>
        <w:numPr>
          <w:ilvl w:val="0"/>
          <w:numId w:val="7"/>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Oposición a la democracia y al comunismo</w:t>
      </w:r>
      <w:r w:rsidRPr="00DB5503">
        <w:rPr>
          <w:rFonts w:eastAsia="Times New Roman" w:cs="Times New Roman"/>
          <w:lang w:eastAsia="es-CL"/>
        </w:rPr>
        <w:t>, y creación de un sistema dictatorial.</w:t>
      </w:r>
    </w:p>
    <w:p w:rsidR="00DB5503" w:rsidRPr="00DB5503" w:rsidRDefault="00DB5503" w:rsidP="00DB5503">
      <w:pPr>
        <w:numPr>
          <w:ilvl w:val="0"/>
          <w:numId w:val="7"/>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Culto al líder</w:t>
      </w:r>
      <w:r w:rsidRPr="00DB5503">
        <w:rPr>
          <w:rFonts w:eastAsia="Times New Roman" w:cs="Times New Roman"/>
          <w:lang w:eastAsia="es-CL"/>
        </w:rPr>
        <w:t> y a la violencia: auge del militarismo.</w:t>
      </w:r>
    </w:p>
    <w:p w:rsidR="00DB5503" w:rsidRPr="00DB5503" w:rsidRDefault="00DB5503" w:rsidP="00DB5503">
      <w:pPr>
        <w:numPr>
          <w:ilvl w:val="0"/>
          <w:numId w:val="7"/>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Planificación económica</w:t>
      </w:r>
      <w:r w:rsidRPr="00DB5503">
        <w:rPr>
          <w:rFonts w:eastAsia="Times New Roman" w:cs="Times New Roman"/>
          <w:lang w:eastAsia="es-CL"/>
        </w:rPr>
        <w:t> e intervención estatal.</w:t>
      </w:r>
    </w:p>
    <w:p w:rsidR="00DB5503" w:rsidRPr="00DB5503" w:rsidRDefault="00DB5503" w:rsidP="00DB5503">
      <w:pPr>
        <w:numPr>
          <w:ilvl w:val="0"/>
          <w:numId w:val="7"/>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Nacionalismo</w:t>
      </w:r>
      <w:r w:rsidRPr="00DB5503">
        <w:rPr>
          <w:rFonts w:eastAsia="Times New Roman" w:cs="Times New Roman"/>
          <w:lang w:eastAsia="es-CL"/>
        </w:rPr>
        <w:t> a ultranza, justificado por la necesidad de buscar un chivo expiatorio, supuesto culpable de los problemas nacionales (caso de los judíos en Alemania).</w:t>
      </w:r>
    </w:p>
    <w:p w:rsidR="00DB5503" w:rsidRPr="00DB5503" w:rsidRDefault="00DB5503" w:rsidP="00DB5503">
      <w:pPr>
        <w:pBdr>
          <w:bottom w:val="single" w:sz="6" w:space="1" w:color="E9EFF4"/>
        </w:pBdr>
        <w:shd w:val="clear" w:color="auto" w:fill="FFFFFF"/>
        <w:spacing w:before="192" w:after="192" w:line="600" w:lineRule="atLeast"/>
        <w:ind w:right="192"/>
        <w:outlineLvl w:val="1"/>
        <w:rPr>
          <w:rFonts w:eastAsia="Times New Roman" w:cs="Times New Roman"/>
          <w:b/>
          <w:bCs/>
          <w:lang w:eastAsia="es-CL"/>
        </w:rPr>
      </w:pPr>
      <w:r w:rsidRPr="00DB5503">
        <w:rPr>
          <w:rFonts w:eastAsia="Times New Roman" w:cs="Times New Roman"/>
          <w:b/>
          <w:bCs/>
          <w:lang w:eastAsia="es-CL"/>
        </w:rPr>
        <w:t>El comunismo</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El </w:t>
      </w:r>
      <w:r w:rsidRPr="00DB5503">
        <w:rPr>
          <w:rFonts w:eastAsia="Times New Roman" w:cs="Times New Roman"/>
          <w:b/>
          <w:bCs/>
          <w:lang w:eastAsia="es-CL"/>
        </w:rPr>
        <w:t>comunismo</w:t>
      </w:r>
      <w:r w:rsidRPr="00DB5503">
        <w:rPr>
          <w:rFonts w:eastAsia="Times New Roman" w:cs="Times New Roman"/>
          <w:lang w:eastAsia="es-CL"/>
        </w:rPr>
        <w:t>, derivado de las ideas de Marx y Engels, constituyó una alternativa política y económica a las democracias burguesas y a los sistemas totalitarios. Hasta el final de la Segunda Guerra Mundial sólo la Unión Soviética se regía por un sistema comunista, aunque existían fuertes movimientos de este tipo en países como Alemania, Italia, España o China.</w:t>
      </w:r>
    </w:p>
    <w:p w:rsidR="00DB5503" w:rsidRPr="00DB5503" w:rsidRDefault="00DB5503" w:rsidP="00DB5503">
      <w:pPr>
        <w:shd w:val="clear" w:color="auto" w:fill="FFFFFF"/>
        <w:spacing w:after="75" w:line="240" w:lineRule="auto"/>
        <w:jc w:val="both"/>
        <w:rPr>
          <w:rFonts w:eastAsia="Times New Roman" w:cs="Times New Roman"/>
          <w:lang w:eastAsia="es-CL"/>
        </w:rPr>
      </w:pPr>
      <w:r w:rsidRPr="00DB5503">
        <w:rPr>
          <w:rFonts w:eastAsia="Times New Roman" w:cs="Times New Roman"/>
          <w:lang w:eastAsia="es-CL"/>
        </w:rPr>
        <w:t>La teoría del Gobierno comunista se basa, fundamentalmente, en los siguientes puntos:</w:t>
      </w:r>
    </w:p>
    <w:p w:rsidR="00DB5503" w:rsidRPr="00DB5503" w:rsidRDefault="00DB5503" w:rsidP="00DB5503">
      <w:pPr>
        <w:numPr>
          <w:ilvl w:val="0"/>
          <w:numId w:val="8"/>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Supresión de las </w:t>
      </w:r>
      <w:r w:rsidRPr="00DB5503">
        <w:rPr>
          <w:rFonts w:eastAsia="Times New Roman" w:cs="Times New Roman"/>
          <w:b/>
          <w:bCs/>
          <w:lang w:eastAsia="es-CL"/>
        </w:rPr>
        <w:t>diferencias de clase</w:t>
      </w:r>
      <w:r w:rsidRPr="00DB5503">
        <w:rPr>
          <w:rFonts w:eastAsia="Times New Roman" w:cs="Times New Roman"/>
          <w:lang w:eastAsia="es-CL"/>
        </w:rPr>
        <w:t>.</w:t>
      </w:r>
    </w:p>
    <w:p w:rsidR="00DB5503" w:rsidRPr="00DB5503" w:rsidRDefault="00DB5503" w:rsidP="00DB5503">
      <w:pPr>
        <w:numPr>
          <w:ilvl w:val="0"/>
          <w:numId w:val="8"/>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Colectivización</w:t>
      </w:r>
      <w:r w:rsidRPr="00DB5503">
        <w:rPr>
          <w:rFonts w:eastAsia="Times New Roman" w:cs="Times New Roman"/>
          <w:lang w:eastAsia="es-CL"/>
        </w:rPr>
        <w:t> de los capitales y los medios productivos.</w:t>
      </w:r>
    </w:p>
    <w:p w:rsidR="00DB5503" w:rsidRPr="00DB5503" w:rsidRDefault="00DB5503" w:rsidP="00DB5503">
      <w:pPr>
        <w:numPr>
          <w:ilvl w:val="0"/>
          <w:numId w:val="8"/>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b/>
          <w:bCs/>
          <w:lang w:eastAsia="es-CL"/>
        </w:rPr>
        <w:t>Planificación</w:t>
      </w:r>
      <w:r w:rsidRPr="00DB5503">
        <w:rPr>
          <w:rFonts w:eastAsia="Times New Roman" w:cs="Times New Roman"/>
          <w:lang w:eastAsia="es-CL"/>
        </w:rPr>
        <w:t> de la economía.</w:t>
      </w:r>
    </w:p>
    <w:p w:rsidR="00DB5503" w:rsidRPr="00DB5503" w:rsidRDefault="00DB5503" w:rsidP="00DB5503">
      <w:pPr>
        <w:numPr>
          <w:ilvl w:val="0"/>
          <w:numId w:val="8"/>
        </w:numPr>
        <w:shd w:val="clear" w:color="auto" w:fill="FFFFFF"/>
        <w:spacing w:after="0" w:line="300" w:lineRule="atLeast"/>
        <w:ind w:left="375"/>
        <w:jc w:val="both"/>
        <w:rPr>
          <w:rFonts w:eastAsia="Times New Roman" w:cs="Times New Roman"/>
          <w:lang w:eastAsia="es-CL"/>
        </w:rPr>
      </w:pPr>
      <w:r w:rsidRPr="00DB5503">
        <w:rPr>
          <w:rFonts w:eastAsia="Times New Roman" w:cs="Times New Roman"/>
          <w:lang w:eastAsia="es-CL"/>
        </w:rPr>
        <w:t>Dedicación exclusiva del Estado a la mejora de las </w:t>
      </w:r>
      <w:r w:rsidRPr="00DB5503">
        <w:rPr>
          <w:rFonts w:eastAsia="Times New Roman" w:cs="Times New Roman"/>
          <w:b/>
          <w:bCs/>
          <w:lang w:eastAsia="es-CL"/>
        </w:rPr>
        <w:t>condiciones sociales</w:t>
      </w:r>
      <w:r w:rsidRPr="00DB5503">
        <w:rPr>
          <w:rFonts w:eastAsia="Times New Roman" w:cs="Times New Roman"/>
          <w:lang w:eastAsia="es-CL"/>
        </w:rPr>
        <w:t> del pueblo.</w:t>
      </w:r>
    </w:p>
    <w:p w:rsidR="00DB5503" w:rsidRPr="00DB5503" w:rsidRDefault="00DB5503" w:rsidP="00DB5503">
      <w:pPr>
        <w:shd w:val="clear" w:color="auto" w:fill="FFFFFF"/>
        <w:spacing w:after="75" w:line="240" w:lineRule="auto"/>
        <w:jc w:val="both"/>
        <w:rPr>
          <w:rFonts w:eastAsia="Times New Roman" w:cs="Times New Roman"/>
          <w:color w:val="333333"/>
          <w:lang w:eastAsia="es-CL"/>
        </w:rPr>
      </w:pPr>
      <w:r w:rsidRPr="00DB5503">
        <w:rPr>
          <w:rFonts w:eastAsia="Times New Roman" w:cs="Times New Roman"/>
          <w:lang w:eastAsia="es-CL"/>
        </w:rPr>
        <w:t>En la práctica, los Estados comunistas no llegaron nunca a una colectivización total ni a la supresión de las clases. De hecho, el desarrollo del nacionalismo y el militarismo facilitó la creación de sistemas totalitarios y represivos muy similares a los del fascismo.</w:t>
      </w:r>
    </w:p>
    <w:p w:rsidR="00DB5503" w:rsidRPr="00DB5503" w:rsidRDefault="00DB5503" w:rsidP="00392823">
      <w:pPr>
        <w:tabs>
          <w:tab w:val="left" w:pos="3093"/>
        </w:tabs>
      </w:pPr>
    </w:p>
    <w:p w:rsidR="00704FB9" w:rsidRDefault="00FB40A5" w:rsidP="00D85B81">
      <w:r w:rsidRPr="00392823">
        <w:rPr>
          <w:b/>
        </w:rPr>
        <w:t>Actividad</w:t>
      </w:r>
      <w:r>
        <w:t>:</w:t>
      </w:r>
    </w:p>
    <w:p w:rsidR="00FB40A5" w:rsidRDefault="00FB40A5" w:rsidP="00D85B81">
      <w:r>
        <w:t>Para facilitar el trabajo y el desarrollo</w:t>
      </w:r>
      <w:r w:rsidR="00EF5CA5">
        <w:t xml:space="preserve"> de las actividades, durante esta unidad </w:t>
      </w:r>
      <w:r w:rsidR="00392823">
        <w:t>trabajaremos</w:t>
      </w:r>
      <w:r>
        <w:t xml:space="preserve"> </w:t>
      </w:r>
      <w:r w:rsidR="00392823">
        <w:t>principalmente</w:t>
      </w:r>
      <w:r>
        <w:t xml:space="preserve"> con el texto del estudiante.</w:t>
      </w:r>
    </w:p>
    <w:p w:rsidR="00FB40A5" w:rsidRDefault="00FB40A5" w:rsidP="00D85B81">
      <w:r>
        <w:t>A parir de lo anterior les pido que realicen las actividades presentes entre</w:t>
      </w:r>
      <w:r w:rsidR="00392823">
        <w:t xml:space="preserve"> la pá</w:t>
      </w:r>
      <w:r>
        <w:t xml:space="preserve">gina 22 y la </w:t>
      </w:r>
      <w:r w:rsidR="00392823">
        <w:t>página</w:t>
      </w:r>
      <w:r w:rsidR="00EF5CA5">
        <w:t xml:space="preserve"> 37</w:t>
      </w:r>
      <w:r>
        <w:t xml:space="preserve"> el texto del estudiante. </w:t>
      </w:r>
    </w:p>
    <w:p w:rsidR="00392823" w:rsidRDefault="00392823" w:rsidP="00D85B81">
      <w:r>
        <w:t xml:space="preserve">- Todas aquellas actividades programadas para ser trabajadas en parejas o en grupos </w:t>
      </w:r>
      <w:r w:rsidR="00EF5CA5">
        <w:t xml:space="preserve"> (según el texto) </w:t>
      </w:r>
      <w:r>
        <w:t>hágala de manera individual.</w:t>
      </w:r>
    </w:p>
    <w:p w:rsidR="00392823" w:rsidRDefault="00392823" w:rsidP="00D85B81">
      <w:r>
        <w:t xml:space="preserve">- El desarrollo o resolución de cada a actividad debe ser en Word,  utilizando letra </w:t>
      </w:r>
      <w:proofErr w:type="spellStart"/>
      <w:r w:rsidR="00E95609">
        <w:t>calibri</w:t>
      </w:r>
      <w:proofErr w:type="spellEnd"/>
      <w:r w:rsidR="00E95609">
        <w:t xml:space="preserve"> </w:t>
      </w:r>
      <w:r>
        <w:t>tamaño 12.</w:t>
      </w:r>
    </w:p>
    <w:p w:rsidR="00392823" w:rsidRDefault="00392823" w:rsidP="00D85B81">
      <w:r>
        <w:t xml:space="preserve">- Solo escribir las respuestas o resolución de las actividades (no las instrucciones o preguntas). Únicamente deben indicar el número de la página y la actividad (ya sea con </w:t>
      </w:r>
      <w:r w:rsidR="00E95609">
        <w:t>número</w:t>
      </w:r>
      <w:r>
        <w:t xml:space="preserve"> o letra)</w:t>
      </w:r>
    </w:p>
    <w:p w:rsidR="00392823" w:rsidRDefault="00392823" w:rsidP="00D85B81">
      <w:r>
        <w:t xml:space="preserve">Ejemplo: Actividad  página </w:t>
      </w:r>
      <w:proofErr w:type="gramStart"/>
      <w:r>
        <w:t>22 ,</w:t>
      </w:r>
      <w:proofErr w:type="gramEnd"/>
      <w:r>
        <w:t xml:space="preserve"> 1 : ………………..</w:t>
      </w:r>
    </w:p>
    <w:p w:rsidR="00392823" w:rsidRDefault="00392823" w:rsidP="00D85B81">
      <w:r>
        <w:t xml:space="preserve">                                                       2: …………………………..</w:t>
      </w:r>
    </w:p>
    <w:p w:rsidR="00392823" w:rsidRDefault="00392823" w:rsidP="00D85B81"/>
    <w:p w:rsidR="00E95609" w:rsidRDefault="00392823" w:rsidP="00D85B81">
      <w:r>
        <w:t>Nota</w:t>
      </w:r>
      <w:r w:rsidR="00E95609">
        <w:t>: las</w:t>
      </w:r>
      <w:r>
        <w:t xml:space="preserve"> actividades deben ser enviadas al correo </w:t>
      </w:r>
      <w:proofErr w:type="gramStart"/>
      <w:r>
        <w:t>de la</w:t>
      </w:r>
      <w:proofErr w:type="gramEnd"/>
      <w:r>
        <w:t xml:space="preserve"> profesor</w:t>
      </w:r>
      <w:r w:rsidR="00E95609">
        <w:t xml:space="preserve"> jefe, quien posteriormente me los hará llegar. </w:t>
      </w:r>
      <w:r w:rsidR="00F05304">
        <w:t>Plazo máximo para la entrega: 30</w:t>
      </w:r>
      <w:bookmarkStart w:id="0" w:name="_GoBack"/>
      <w:bookmarkEnd w:id="0"/>
      <w:r w:rsidR="00E95609">
        <w:t xml:space="preserve"> de abril.</w:t>
      </w:r>
    </w:p>
    <w:p w:rsidR="00392823" w:rsidRPr="00D85B81" w:rsidRDefault="00392823" w:rsidP="00392823">
      <w:pPr>
        <w:tabs>
          <w:tab w:val="left" w:pos="2755"/>
        </w:tabs>
      </w:pPr>
      <w:r>
        <w:t xml:space="preserve"> </w:t>
      </w:r>
      <w:r>
        <w:tab/>
      </w:r>
    </w:p>
    <w:sectPr w:rsidR="00392823" w:rsidRPr="00D85B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04B"/>
    <w:multiLevelType w:val="multilevel"/>
    <w:tmpl w:val="5E2C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A20C4"/>
    <w:multiLevelType w:val="multilevel"/>
    <w:tmpl w:val="4B3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550B2"/>
    <w:multiLevelType w:val="multilevel"/>
    <w:tmpl w:val="14C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86D9A"/>
    <w:multiLevelType w:val="multilevel"/>
    <w:tmpl w:val="F3E8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05596"/>
    <w:multiLevelType w:val="multilevel"/>
    <w:tmpl w:val="65D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03001"/>
    <w:multiLevelType w:val="multilevel"/>
    <w:tmpl w:val="9EF0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E09E2"/>
    <w:multiLevelType w:val="multilevel"/>
    <w:tmpl w:val="AA6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A05D30"/>
    <w:multiLevelType w:val="multilevel"/>
    <w:tmpl w:val="92E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16"/>
    <w:rsid w:val="000D1A9C"/>
    <w:rsid w:val="00226843"/>
    <w:rsid w:val="00245681"/>
    <w:rsid w:val="002D3C16"/>
    <w:rsid w:val="00392823"/>
    <w:rsid w:val="00704FB9"/>
    <w:rsid w:val="007B6A9E"/>
    <w:rsid w:val="00A92A49"/>
    <w:rsid w:val="00D85B81"/>
    <w:rsid w:val="00DB5503"/>
    <w:rsid w:val="00E4357C"/>
    <w:rsid w:val="00E95609"/>
    <w:rsid w:val="00EF5CA5"/>
    <w:rsid w:val="00F05304"/>
    <w:rsid w:val="00FB40A5"/>
    <w:rsid w:val="00FC58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C16"/>
    <w:rPr>
      <w:color w:val="0000FF" w:themeColor="hyperlink"/>
      <w:u w:val="single"/>
    </w:rPr>
  </w:style>
  <w:style w:type="paragraph" w:styleId="NormalWeb">
    <w:name w:val="Normal (Web)"/>
    <w:basedOn w:val="Normal"/>
    <w:uiPriority w:val="99"/>
    <w:semiHidden/>
    <w:unhideWhenUsed/>
    <w:rsid w:val="000D1A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D1A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A9C"/>
    <w:rPr>
      <w:rFonts w:ascii="Tahoma" w:hAnsi="Tahoma" w:cs="Tahoma"/>
      <w:sz w:val="16"/>
      <w:szCs w:val="16"/>
    </w:rPr>
  </w:style>
  <w:style w:type="table" w:styleId="Tablaconcuadrcula">
    <w:name w:val="Table Grid"/>
    <w:basedOn w:val="Tablanormal"/>
    <w:uiPriority w:val="59"/>
    <w:rsid w:val="00FC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C16"/>
    <w:rPr>
      <w:color w:val="0000FF" w:themeColor="hyperlink"/>
      <w:u w:val="single"/>
    </w:rPr>
  </w:style>
  <w:style w:type="paragraph" w:styleId="NormalWeb">
    <w:name w:val="Normal (Web)"/>
    <w:basedOn w:val="Normal"/>
    <w:uiPriority w:val="99"/>
    <w:semiHidden/>
    <w:unhideWhenUsed/>
    <w:rsid w:val="000D1A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D1A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A9C"/>
    <w:rPr>
      <w:rFonts w:ascii="Tahoma" w:hAnsi="Tahoma" w:cs="Tahoma"/>
      <w:sz w:val="16"/>
      <w:szCs w:val="16"/>
    </w:rPr>
  </w:style>
  <w:style w:type="table" w:styleId="Tablaconcuadrcula">
    <w:name w:val="Table Grid"/>
    <w:basedOn w:val="Tablanormal"/>
    <w:uiPriority w:val="59"/>
    <w:rsid w:val="00FC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791">
      <w:bodyDiv w:val="1"/>
      <w:marLeft w:val="0"/>
      <w:marRight w:val="0"/>
      <w:marTop w:val="0"/>
      <w:marBottom w:val="0"/>
      <w:divBdr>
        <w:top w:val="none" w:sz="0" w:space="0" w:color="auto"/>
        <w:left w:val="none" w:sz="0" w:space="0" w:color="auto"/>
        <w:bottom w:val="none" w:sz="0" w:space="0" w:color="auto"/>
        <w:right w:val="none" w:sz="0" w:space="0" w:color="auto"/>
      </w:divBdr>
    </w:div>
    <w:div w:id="213734720">
      <w:bodyDiv w:val="1"/>
      <w:marLeft w:val="0"/>
      <w:marRight w:val="0"/>
      <w:marTop w:val="0"/>
      <w:marBottom w:val="0"/>
      <w:divBdr>
        <w:top w:val="none" w:sz="0" w:space="0" w:color="auto"/>
        <w:left w:val="none" w:sz="0" w:space="0" w:color="auto"/>
        <w:bottom w:val="none" w:sz="0" w:space="0" w:color="auto"/>
        <w:right w:val="none" w:sz="0" w:space="0" w:color="auto"/>
      </w:divBdr>
    </w:div>
    <w:div w:id="263148406">
      <w:bodyDiv w:val="1"/>
      <w:marLeft w:val="0"/>
      <w:marRight w:val="0"/>
      <w:marTop w:val="0"/>
      <w:marBottom w:val="0"/>
      <w:divBdr>
        <w:top w:val="none" w:sz="0" w:space="0" w:color="auto"/>
        <w:left w:val="none" w:sz="0" w:space="0" w:color="auto"/>
        <w:bottom w:val="none" w:sz="0" w:space="0" w:color="auto"/>
        <w:right w:val="none" w:sz="0" w:space="0" w:color="auto"/>
      </w:divBdr>
    </w:div>
    <w:div w:id="422604116">
      <w:bodyDiv w:val="1"/>
      <w:marLeft w:val="0"/>
      <w:marRight w:val="0"/>
      <w:marTop w:val="0"/>
      <w:marBottom w:val="0"/>
      <w:divBdr>
        <w:top w:val="none" w:sz="0" w:space="0" w:color="auto"/>
        <w:left w:val="none" w:sz="0" w:space="0" w:color="auto"/>
        <w:bottom w:val="none" w:sz="0" w:space="0" w:color="auto"/>
        <w:right w:val="none" w:sz="0" w:space="0" w:color="auto"/>
      </w:divBdr>
    </w:div>
    <w:div w:id="430317213">
      <w:bodyDiv w:val="1"/>
      <w:marLeft w:val="0"/>
      <w:marRight w:val="0"/>
      <w:marTop w:val="0"/>
      <w:marBottom w:val="0"/>
      <w:divBdr>
        <w:top w:val="none" w:sz="0" w:space="0" w:color="auto"/>
        <w:left w:val="none" w:sz="0" w:space="0" w:color="auto"/>
        <w:bottom w:val="none" w:sz="0" w:space="0" w:color="auto"/>
        <w:right w:val="none" w:sz="0" w:space="0" w:color="auto"/>
      </w:divBdr>
    </w:div>
    <w:div w:id="665279547">
      <w:bodyDiv w:val="1"/>
      <w:marLeft w:val="0"/>
      <w:marRight w:val="0"/>
      <w:marTop w:val="0"/>
      <w:marBottom w:val="0"/>
      <w:divBdr>
        <w:top w:val="none" w:sz="0" w:space="0" w:color="auto"/>
        <w:left w:val="none" w:sz="0" w:space="0" w:color="auto"/>
        <w:bottom w:val="none" w:sz="0" w:space="0" w:color="auto"/>
        <w:right w:val="none" w:sz="0" w:space="0" w:color="auto"/>
      </w:divBdr>
      <w:divsChild>
        <w:div w:id="1009602581">
          <w:marLeft w:val="0"/>
          <w:marRight w:val="0"/>
          <w:marTop w:val="100"/>
          <w:marBottom w:val="100"/>
          <w:divBdr>
            <w:top w:val="none" w:sz="0" w:space="0" w:color="auto"/>
            <w:left w:val="none" w:sz="0" w:space="0" w:color="auto"/>
            <w:bottom w:val="none" w:sz="0" w:space="0" w:color="auto"/>
            <w:right w:val="none" w:sz="0" w:space="0" w:color="auto"/>
          </w:divBdr>
          <w:divsChild>
            <w:div w:id="1390416161">
              <w:marLeft w:val="0"/>
              <w:marRight w:val="0"/>
              <w:marTop w:val="0"/>
              <w:marBottom w:val="0"/>
              <w:divBdr>
                <w:top w:val="none" w:sz="0" w:space="0" w:color="auto"/>
                <w:left w:val="none" w:sz="0" w:space="0" w:color="auto"/>
                <w:bottom w:val="none" w:sz="0" w:space="0" w:color="auto"/>
                <w:right w:val="none" w:sz="0" w:space="0" w:color="auto"/>
              </w:divBdr>
              <w:divsChild>
                <w:div w:id="965113913">
                  <w:marLeft w:val="0"/>
                  <w:marRight w:val="0"/>
                  <w:marTop w:val="0"/>
                  <w:marBottom w:val="0"/>
                  <w:divBdr>
                    <w:top w:val="none" w:sz="0" w:space="0" w:color="auto"/>
                    <w:left w:val="none" w:sz="0" w:space="0" w:color="auto"/>
                    <w:bottom w:val="none" w:sz="0" w:space="0" w:color="auto"/>
                    <w:right w:val="none" w:sz="0" w:space="0" w:color="auto"/>
                  </w:divBdr>
                  <w:divsChild>
                    <w:div w:id="755443336">
                      <w:marLeft w:val="0"/>
                      <w:marRight w:val="0"/>
                      <w:marTop w:val="0"/>
                      <w:marBottom w:val="0"/>
                      <w:divBdr>
                        <w:top w:val="none" w:sz="0" w:space="0" w:color="auto"/>
                        <w:left w:val="none" w:sz="0" w:space="0" w:color="auto"/>
                        <w:bottom w:val="none" w:sz="0" w:space="0" w:color="auto"/>
                        <w:right w:val="none" w:sz="0" w:space="0" w:color="auto"/>
                      </w:divBdr>
                      <w:divsChild>
                        <w:div w:id="1954239656">
                          <w:marLeft w:val="0"/>
                          <w:marRight w:val="0"/>
                          <w:marTop w:val="0"/>
                          <w:marBottom w:val="0"/>
                          <w:divBdr>
                            <w:top w:val="none" w:sz="0" w:space="0" w:color="auto"/>
                            <w:left w:val="none" w:sz="0" w:space="0" w:color="auto"/>
                            <w:bottom w:val="none" w:sz="0" w:space="0" w:color="auto"/>
                            <w:right w:val="none" w:sz="0" w:space="0" w:color="auto"/>
                          </w:divBdr>
                          <w:divsChild>
                            <w:div w:id="1050373748">
                              <w:marLeft w:val="0"/>
                              <w:marRight w:val="0"/>
                              <w:marTop w:val="0"/>
                              <w:marBottom w:val="0"/>
                              <w:divBdr>
                                <w:top w:val="none" w:sz="0" w:space="0" w:color="auto"/>
                                <w:left w:val="none" w:sz="0" w:space="0" w:color="auto"/>
                                <w:bottom w:val="none" w:sz="0" w:space="0" w:color="auto"/>
                                <w:right w:val="none" w:sz="0" w:space="0" w:color="auto"/>
                              </w:divBdr>
                              <w:divsChild>
                                <w:div w:id="19632629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61441661">
                          <w:marLeft w:val="0"/>
                          <w:marRight w:val="0"/>
                          <w:marTop w:val="0"/>
                          <w:marBottom w:val="0"/>
                          <w:divBdr>
                            <w:top w:val="none" w:sz="0" w:space="0" w:color="auto"/>
                            <w:left w:val="none" w:sz="0" w:space="0" w:color="auto"/>
                            <w:bottom w:val="none" w:sz="0" w:space="0" w:color="auto"/>
                            <w:right w:val="none" w:sz="0" w:space="0" w:color="auto"/>
                          </w:divBdr>
                          <w:divsChild>
                            <w:div w:id="1795366413">
                              <w:marLeft w:val="0"/>
                              <w:marRight w:val="0"/>
                              <w:marTop w:val="0"/>
                              <w:marBottom w:val="0"/>
                              <w:divBdr>
                                <w:top w:val="none" w:sz="0" w:space="0" w:color="auto"/>
                                <w:left w:val="none" w:sz="0" w:space="0" w:color="auto"/>
                                <w:bottom w:val="none" w:sz="0" w:space="0" w:color="auto"/>
                                <w:right w:val="none" w:sz="0" w:space="0" w:color="auto"/>
                              </w:divBdr>
                              <w:divsChild>
                                <w:div w:id="1451895784">
                                  <w:marLeft w:val="-225"/>
                                  <w:marRight w:val="-225"/>
                                  <w:marTop w:val="0"/>
                                  <w:marBottom w:val="0"/>
                                  <w:divBdr>
                                    <w:top w:val="none" w:sz="0" w:space="0" w:color="auto"/>
                                    <w:left w:val="none" w:sz="0" w:space="0" w:color="auto"/>
                                    <w:bottom w:val="none" w:sz="0" w:space="0" w:color="auto"/>
                                    <w:right w:val="none" w:sz="0" w:space="0" w:color="auto"/>
                                  </w:divBdr>
                                  <w:divsChild>
                                    <w:div w:id="1875337719">
                                      <w:marLeft w:val="0"/>
                                      <w:marRight w:val="0"/>
                                      <w:marTop w:val="0"/>
                                      <w:marBottom w:val="0"/>
                                      <w:divBdr>
                                        <w:top w:val="none" w:sz="0" w:space="0" w:color="auto"/>
                                        <w:left w:val="none" w:sz="0" w:space="0" w:color="auto"/>
                                        <w:bottom w:val="none" w:sz="0" w:space="0" w:color="auto"/>
                                        <w:right w:val="none" w:sz="0" w:space="0" w:color="auto"/>
                                      </w:divBdr>
                                      <w:divsChild>
                                        <w:div w:id="562254033">
                                          <w:marLeft w:val="0"/>
                                          <w:marRight w:val="0"/>
                                          <w:marTop w:val="0"/>
                                          <w:marBottom w:val="0"/>
                                          <w:divBdr>
                                            <w:top w:val="none" w:sz="0" w:space="0" w:color="auto"/>
                                            <w:left w:val="none" w:sz="0" w:space="0" w:color="auto"/>
                                            <w:bottom w:val="none" w:sz="0" w:space="0" w:color="auto"/>
                                            <w:right w:val="none" w:sz="0" w:space="0" w:color="auto"/>
                                          </w:divBdr>
                                          <w:divsChild>
                                            <w:div w:id="1674642288">
                                              <w:marLeft w:val="0"/>
                                              <w:marRight w:val="0"/>
                                              <w:marTop w:val="0"/>
                                              <w:marBottom w:val="0"/>
                                              <w:divBdr>
                                                <w:top w:val="none" w:sz="0" w:space="0" w:color="auto"/>
                                                <w:left w:val="none" w:sz="0" w:space="0" w:color="auto"/>
                                                <w:bottom w:val="none" w:sz="0" w:space="0" w:color="auto"/>
                                                <w:right w:val="none" w:sz="0" w:space="0" w:color="auto"/>
                                              </w:divBdr>
                                              <w:divsChild>
                                                <w:div w:id="1619725796">
                                                  <w:marLeft w:val="0"/>
                                                  <w:marRight w:val="0"/>
                                                  <w:marTop w:val="0"/>
                                                  <w:marBottom w:val="0"/>
                                                  <w:divBdr>
                                                    <w:top w:val="none" w:sz="0" w:space="0" w:color="auto"/>
                                                    <w:left w:val="none" w:sz="0" w:space="0" w:color="auto"/>
                                                    <w:bottom w:val="none" w:sz="0" w:space="0" w:color="auto"/>
                                                    <w:right w:val="none" w:sz="0" w:space="0" w:color="auto"/>
                                                  </w:divBdr>
                                                </w:div>
                                              </w:divsChild>
                                            </w:div>
                                            <w:div w:id="1695157943">
                                              <w:marLeft w:val="0"/>
                                              <w:marRight w:val="0"/>
                                              <w:marTop w:val="0"/>
                                              <w:marBottom w:val="0"/>
                                              <w:divBdr>
                                                <w:top w:val="none" w:sz="0" w:space="0" w:color="auto"/>
                                                <w:left w:val="none" w:sz="0" w:space="0" w:color="auto"/>
                                                <w:bottom w:val="none" w:sz="0" w:space="0" w:color="auto"/>
                                                <w:right w:val="none" w:sz="0" w:space="0" w:color="auto"/>
                                              </w:divBdr>
                                              <w:divsChild>
                                                <w:div w:id="883905988">
                                                  <w:marLeft w:val="0"/>
                                                  <w:marRight w:val="0"/>
                                                  <w:marTop w:val="0"/>
                                                  <w:marBottom w:val="0"/>
                                                  <w:divBdr>
                                                    <w:top w:val="none" w:sz="0" w:space="0" w:color="auto"/>
                                                    <w:left w:val="none" w:sz="0" w:space="0" w:color="auto"/>
                                                    <w:bottom w:val="none" w:sz="0" w:space="0" w:color="auto"/>
                                                    <w:right w:val="none" w:sz="0" w:space="0" w:color="auto"/>
                                                  </w:divBdr>
                                                  <w:divsChild>
                                                    <w:div w:id="1604221515">
                                                      <w:marLeft w:val="0"/>
                                                      <w:marRight w:val="0"/>
                                                      <w:marTop w:val="0"/>
                                                      <w:marBottom w:val="0"/>
                                                      <w:divBdr>
                                                        <w:top w:val="none" w:sz="0" w:space="0" w:color="auto"/>
                                                        <w:left w:val="none" w:sz="0" w:space="0" w:color="auto"/>
                                                        <w:bottom w:val="none" w:sz="0" w:space="0" w:color="auto"/>
                                                        <w:right w:val="none" w:sz="0" w:space="0" w:color="auto"/>
                                                      </w:divBdr>
                                                      <w:divsChild>
                                                        <w:div w:id="804201510">
                                                          <w:marLeft w:val="0"/>
                                                          <w:marRight w:val="0"/>
                                                          <w:marTop w:val="0"/>
                                                          <w:marBottom w:val="0"/>
                                                          <w:divBdr>
                                                            <w:top w:val="none" w:sz="0" w:space="0" w:color="auto"/>
                                                            <w:left w:val="none" w:sz="0" w:space="0" w:color="auto"/>
                                                            <w:bottom w:val="none" w:sz="0" w:space="0" w:color="auto"/>
                                                            <w:right w:val="none" w:sz="0" w:space="0" w:color="auto"/>
                                                          </w:divBdr>
                                                          <w:divsChild>
                                                            <w:div w:id="1407654471">
                                                              <w:marLeft w:val="0"/>
                                                              <w:marRight w:val="0"/>
                                                              <w:marTop w:val="0"/>
                                                              <w:marBottom w:val="0"/>
                                                              <w:divBdr>
                                                                <w:top w:val="none" w:sz="0" w:space="0" w:color="auto"/>
                                                                <w:left w:val="none" w:sz="0" w:space="0" w:color="auto"/>
                                                                <w:bottom w:val="none" w:sz="0" w:space="0" w:color="auto"/>
                                                                <w:right w:val="none" w:sz="0" w:space="0" w:color="auto"/>
                                                              </w:divBdr>
                                                              <w:divsChild>
                                                                <w:div w:id="747460096">
                                                                  <w:marLeft w:val="0"/>
                                                                  <w:marRight w:val="0"/>
                                                                  <w:marTop w:val="0"/>
                                                                  <w:marBottom w:val="0"/>
                                                                  <w:divBdr>
                                                                    <w:top w:val="none" w:sz="0" w:space="0" w:color="auto"/>
                                                                    <w:left w:val="none" w:sz="0" w:space="0" w:color="auto"/>
                                                                    <w:bottom w:val="none" w:sz="0" w:space="0" w:color="auto"/>
                                                                    <w:right w:val="none" w:sz="0" w:space="0" w:color="auto"/>
                                                                  </w:divBdr>
                                                                  <w:divsChild>
                                                                    <w:div w:id="1370258755">
                                                                      <w:marLeft w:val="0"/>
                                                                      <w:marRight w:val="0"/>
                                                                      <w:marTop w:val="0"/>
                                                                      <w:marBottom w:val="0"/>
                                                                      <w:divBdr>
                                                                        <w:top w:val="none" w:sz="0" w:space="0" w:color="auto"/>
                                                                        <w:left w:val="none" w:sz="0" w:space="0" w:color="auto"/>
                                                                        <w:bottom w:val="none" w:sz="0" w:space="0" w:color="auto"/>
                                                                        <w:right w:val="none" w:sz="0" w:space="0" w:color="auto"/>
                                                                      </w:divBdr>
                                                                      <w:divsChild>
                                                                        <w:div w:id="1647855243">
                                                                          <w:marLeft w:val="0"/>
                                                                          <w:marRight w:val="0"/>
                                                                          <w:marTop w:val="0"/>
                                                                          <w:marBottom w:val="0"/>
                                                                          <w:divBdr>
                                                                            <w:top w:val="single" w:sz="6" w:space="0" w:color="E7E7E7"/>
                                                                            <w:left w:val="single" w:sz="6" w:space="0" w:color="E7E7E7"/>
                                                                            <w:bottom w:val="single" w:sz="6" w:space="0" w:color="E7E7E7"/>
                                                                            <w:right w:val="single" w:sz="6" w:space="0" w:color="E7E7E7"/>
                                                                          </w:divBdr>
                                                                          <w:divsChild>
                                                                            <w:div w:id="583606787">
                                                                              <w:marLeft w:val="0"/>
                                                                              <w:marRight w:val="0"/>
                                                                              <w:marTop w:val="0"/>
                                                                              <w:marBottom w:val="0"/>
                                                                              <w:divBdr>
                                                                                <w:top w:val="none" w:sz="0" w:space="0" w:color="auto"/>
                                                                                <w:left w:val="none" w:sz="0" w:space="0" w:color="auto"/>
                                                                                <w:bottom w:val="none" w:sz="0" w:space="0" w:color="auto"/>
                                                                                <w:right w:val="none" w:sz="0" w:space="0" w:color="auto"/>
                                                                              </w:divBdr>
                                                                              <w:divsChild>
                                                                                <w:div w:id="1243293173">
                                                                                  <w:marLeft w:val="0"/>
                                                                                  <w:marRight w:val="0"/>
                                                                                  <w:marTop w:val="0"/>
                                                                                  <w:marBottom w:val="0"/>
                                                                                  <w:divBdr>
                                                                                    <w:top w:val="none" w:sz="0" w:space="0" w:color="auto"/>
                                                                                    <w:left w:val="none" w:sz="0" w:space="0" w:color="auto"/>
                                                                                    <w:bottom w:val="none" w:sz="0" w:space="0" w:color="auto"/>
                                                                                    <w:right w:val="none" w:sz="0" w:space="0" w:color="auto"/>
                                                                                  </w:divBdr>
                                                                                  <w:divsChild>
                                                                                    <w:div w:id="1990281660">
                                                                                      <w:marLeft w:val="0"/>
                                                                                      <w:marRight w:val="0"/>
                                                                                      <w:marTop w:val="0"/>
                                                                                      <w:marBottom w:val="0"/>
                                                                                      <w:divBdr>
                                                                                        <w:top w:val="none" w:sz="0" w:space="0" w:color="auto"/>
                                                                                        <w:left w:val="none" w:sz="0" w:space="0" w:color="auto"/>
                                                                                        <w:bottom w:val="none" w:sz="0" w:space="0" w:color="auto"/>
                                                                                        <w:right w:val="none" w:sz="0" w:space="0" w:color="auto"/>
                                                                                      </w:divBdr>
                                                                                    </w:div>
                                                                                  </w:divsChild>
                                                                                </w:div>
                                                                                <w:div w:id="1086802936">
                                                                                  <w:marLeft w:val="0"/>
                                                                                  <w:marRight w:val="0"/>
                                                                                  <w:marTop w:val="0"/>
                                                                                  <w:marBottom w:val="0"/>
                                                                                  <w:divBdr>
                                                                                    <w:top w:val="none" w:sz="0" w:space="0" w:color="auto"/>
                                                                                    <w:left w:val="none" w:sz="0" w:space="0" w:color="auto"/>
                                                                                    <w:bottom w:val="none" w:sz="0" w:space="0" w:color="auto"/>
                                                                                    <w:right w:val="none" w:sz="0" w:space="0" w:color="auto"/>
                                                                                  </w:divBdr>
                                                                                  <w:divsChild>
                                                                                    <w:div w:id="819344516">
                                                                                      <w:marLeft w:val="0"/>
                                                                                      <w:marRight w:val="0"/>
                                                                                      <w:marTop w:val="0"/>
                                                                                      <w:marBottom w:val="0"/>
                                                                                      <w:divBdr>
                                                                                        <w:top w:val="none" w:sz="0" w:space="0" w:color="auto"/>
                                                                                        <w:left w:val="single" w:sz="36" w:space="0" w:color="0A4A4F"/>
                                                                                        <w:bottom w:val="none" w:sz="0" w:space="0" w:color="auto"/>
                                                                                        <w:right w:val="none" w:sz="0" w:space="0" w:color="auto"/>
                                                                                      </w:divBdr>
                                                                                    </w:div>
                                                                                  </w:divsChild>
                                                                                </w:div>
                                                                                <w:div w:id="175389294">
                                                                                  <w:marLeft w:val="0"/>
                                                                                  <w:marRight w:val="0"/>
                                                                                  <w:marTop w:val="0"/>
                                                                                  <w:marBottom w:val="0"/>
                                                                                  <w:divBdr>
                                                                                    <w:top w:val="none" w:sz="0" w:space="0" w:color="auto"/>
                                                                                    <w:left w:val="none" w:sz="0" w:space="0" w:color="auto"/>
                                                                                    <w:bottom w:val="none" w:sz="0" w:space="0" w:color="auto"/>
                                                                                    <w:right w:val="none" w:sz="0" w:space="0" w:color="auto"/>
                                                                                  </w:divBdr>
                                                                                  <w:divsChild>
                                                                                    <w:div w:id="372967501">
                                                                                      <w:marLeft w:val="0"/>
                                                                                      <w:marRight w:val="0"/>
                                                                                      <w:marTop w:val="0"/>
                                                                                      <w:marBottom w:val="0"/>
                                                                                      <w:divBdr>
                                                                                        <w:top w:val="none" w:sz="0" w:space="0" w:color="auto"/>
                                                                                        <w:left w:val="single" w:sz="36" w:space="0" w:color="CEB641"/>
                                                                                        <w:bottom w:val="none" w:sz="0" w:space="0" w:color="auto"/>
                                                                                        <w:right w:val="none" w:sz="0" w:space="0" w:color="auto"/>
                                                                                      </w:divBdr>
                                                                                    </w:div>
                                                                                  </w:divsChild>
                                                                                </w:div>
                                                                                <w:div w:id="374694823">
                                                                                  <w:marLeft w:val="0"/>
                                                                                  <w:marRight w:val="0"/>
                                                                                  <w:marTop w:val="0"/>
                                                                                  <w:marBottom w:val="0"/>
                                                                                  <w:divBdr>
                                                                                    <w:top w:val="none" w:sz="0" w:space="0" w:color="auto"/>
                                                                                    <w:left w:val="none" w:sz="0" w:space="0" w:color="auto"/>
                                                                                    <w:bottom w:val="none" w:sz="0" w:space="0" w:color="auto"/>
                                                                                    <w:right w:val="none" w:sz="0" w:space="0" w:color="auto"/>
                                                                                  </w:divBdr>
                                                                                  <w:divsChild>
                                                                                    <w:div w:id="425661912">
                                                                                      <w:marLeft w:val="0"/>
                                                                                      <w:marRight w:val="0"/>
                                                                                      <w:marTop w:val="0"/>
                                                                                      <w:marBottom w:val="0"/>
                                                                                      <w:divBdr>
                                                                                        <w:top w:val="none" w:sz="0" w:space="0" w:color="auto"/>
                                                                                        <w:left w:val="single" w:sz="36" w:space="0" w:color="4C6A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6729">
                          <w:marLeft w:val="0"/>
                          <w:marRight w:val="0"/>
                          <w:marTop w:val="0"/>
                          <w:marBottom w:val="0"/>
                          <w:divBdr>
                            <w:top w:val="none" w:sz="0" w:space="0" w:color="auto"/>
                            <w:left w:val="none" w:sz="0" w:space="0" w:color="auto"/>
                            <w:bottom w:val="none" w:sz="0" w:space="0" w:color="auto"/>
                            <w:right w:val="none" w:sz="0" w:space="0" w:color="auto"/>
                          </w:divBdr>
                          <w:divsChild>
                            <w:div w:id="12097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18078">
      <w:bodyDiv w:val="1"/>
      <w:marLeft w:val="0"/>
      <w:marRight w:val="0"/>
      <w:marTop w:val="0"/>
      <w:marBottom w:val="0"/>
      <w:divBdr>
        <w:top w:val="none" w:sz="0" w:space="0" w:color="auto"/>
        <w:left w:val="none" w:sz="0" w:space="0" w:color="auto"/>
        <w:bottom w:val="none" w:sz="0" w:space="0" w:color="auto"/>
        <w:right w:val="none" w:sz="0" w:space="0" w:color="auto"/>
      </w:divBdr>
    </w:div>
    <w:div w:id="996764980">
      <w:bodyDiv w:val="1"/>
      <w:marLeft w:val="0"/>
      <w:marRight w:val="0"/>
      <w:marTop w:val="0"/>
      <w:marBottom w:val="0"/>
      <w:divBdr>
        <w:top w:val="none" w:sz="0" w:space="0" w:color="auto"/>
        <w:left w:val="none" w:sz="0" w:space="0" w:color="auto"/>
        <w:bottom w:val="none" w:sz="0" w:space="0" w:color="auto"/>
        <w:right w:val="none" w:sz="0" w:space="0" w:color="auto"/>
      </w:divBdr>
    </w:div>
    <w:div w:id="1388728044">
      <w:bodyDiv w:val="1"/>
      <w:marLeft w:val="0"/>
      <w:marRight w:val="0"/>
      <w:marTop w:val="0"/>
      <w:marBottom w:val="0"/>
      <w:divBdr>
        <w:top w:val="none" w:sz="0" w:space="0" w:color="auto"/>
        <w:left w:val="none" w:sz="0" w:space="0" w:color="auto"/>
        <w:bottom w:val="none" w:sz="0" w:space="0" w:color="auto"/>
        <w:right w:val="none" w:sz="0" w:space="0" w:color="auto"/>
      </w:divBdr>
    </w:div>
    <w:div w:id="1493371697">
      <w:bodyDiv w:val="1"/>
      <w:marLeft w:val="0"/>
      <w:marRight w:val="0"/>
      <w:marTop w:val="0"/>
      <w:marBottom w:val="0"/>
      <w:divBdr>
        <w:top w:val="none" w:sz="0" w:space="0" w:color="auto"/>
        <w:left w:val="none" w:sz="0" w:space="0" w:color="auto"/>
        <w:bottom w:val="none" w:sz="0" w:space="0" w:color="auto"/>
        <w:right w:val="none" w:sz="0" w:space="0" w:color="auto"/>
      </w:divBdr>
    </w:div>
    <w:div w:id="1561552201">
      <w:bodyDiv w:val="1"/>
      <w:marLeft w:val="0"/>
      <w:marRight w:val="0"/>
      <w:marTop w:val="0"/>
      <w:marBottom w:val="0"/>
      <w:divBdr>
        <w:top w:val="none" w:sz="0" w:space="0" w:color="auto"/>
        <w:left w:val="none" w:sz="0" w:space="0" w:color="auto"/>
        <w:bottom w:val="none" w:sz="0" w:space="0" w:color="auto"/>
        <w:right w:val="none" w:sz="0" w:space="0" w:color="auto"/>
      </w:divBdr>
    </w:div>
    <w:div w:id="1643732536">
      <w:bodyDiv w:val="1"/>
      <w:marLeft w:val="0"/>
      <w:marRight w:val="0"/>
      <w:marTop w:val="0"/>
      <w:marBottom w:val="0"/>
      <w:divBdr>
        <w:top w:val="none" w:sz="0" w:space="0" w:color="auto"/>
        <w:left w:val="none" w:sz="0" w:space="0" w:color="auto"/>
        <w:bottom w:val="none" w:sz="0" w:space="0" w:color="auto"/>
        <w:right w:val="none" w:sz="0" w:space="0" w:color="auto"/>
      </w:divBdr>
    </w:div>
    <w:div w:id="1731342786">
      <w:bodyDiv w:val="1"/>
      <w:marLeft w:val="0"/>
      <w:marRight w:val="0"/>
      <w:marTop w:val="0"/>
      <w:marBottom w:val="0"/>
      <w:divBdr>
        <w:top w:val="none" w:sz="0" w:space="0" w:color="auto"/>
        <w:left w:val="none" w:sz="0" w:space="0" w:color="auto"/>
        <w:bottom w:val="none" w:sz="0" w:space="0" w:color="auto"/>
        <w:right w:val="none" w:sz="0" w:space="0" w:color="auto"/>
      </w:divBdr>
      <w:divsChild>
        <w:div w:id="390202574">
          <w:marLeft w:val="0"/>
          <w:marRight w:val="0"/>
          <w:marTop w:val="0"/>
          <w:marBottom w:val="0"/>
          <w:divBdr>
            <w:top w:val="none" w:sz="0" w:space="0" w:color="auto"/>
            <w:left w:val="none" w:sz="0" w:space="0" w:color="auto"/>
            <w:bottom w:val="none" w:sz="0" w:space="0" w:color="auto"/>
            <w:right w:val="none" w:sz="0" w:space="0" w:color="auto"/>
          </w:divBdr>
        </w:div>
        <w:div w:id="1827744063">
          <w:marLeft w:val="0"/>
          <w:marRight w:val="0"/>
          <w:marTop w:val="0"/>
          <w:marBottom w:val="0"/>
          <w:divBdr>
            <w:top w:val="none" w:sz="0" w:space="0" w:color="auto"/>
            <w:left w:val="none" w:sz="0" w:space="0" w:color="auto"/>
            <w:bottom w:val="none" w:sz="0" w:space="0" w:color="auto"/>
            <w:right w:val="none" w:sz="0" w:space="0" w:color="auto"/>
          </w:divBdr>
          <w:divsChild>
            <w:div w:id="711810825">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4364</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La crisis económica</vt:lpstr>
      <vt:lpstr>    Intentos de recuperación económica: el ejemplo estadounidense</vt:lpstr>
      <vt:lpstr>    El fascismo</vt:lpstr>
      <vt:lpstr>    El comunismo</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dc:creator>
  <cp:lastModifiedBy>zari</cp:lastModifiedBy>
  <cp:revision>3</cp:revision>
  <dcterms:created xsi:type="dcterms:W3CDTF">2020-03-31T09:58:00Z</dcterms:created>
  <dcterms:modified xsi:type="dcterms:W3CDTF">2020-04-02T02:37:00Z</dcterms:modified>
</cp:coreProperties>
</file>